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8" w:rsidRPr="000B2629" w:rsidRDefault="00084EE8" w:rsidP="00084EE8">
      <w:pPr>
        <w:pStyle w:val="Heading2"/>
        <w:jc w:val="both"/>
        <w:rPr>
          <w:rFonts w:asciiTheme="minorHAnsi" w:hAnsiTheme="minorHAnsi" w:cstheme="minorHAnsi"/>
        </w:rPr>
      </w:pPr>
      <w:bookmarkStart w:id="0" w:name="_Toc383176542"/>
      <w:r w:rsidRPr="000B2629">
        <w:rPr>
          <w:rFonts w:asciiTheme="minorHAnsi" w:hAnsiTheme="minorHAnsi" w:cstheme="minorHAnsi"/>
        </w:rPr>
        <w:t>7.2 Cancer</w:t>
      </w:r>
      <w:bookmarkEnd w:id="0"/>
    </w:p>
    <w:p w:rsidR="00084EE8" w:rsidRDefault="00084EE8" w:rsidP="00084EE8">
      <w:pPr>
        <w:jc w:val="both"/>
      </w:pPr>
    </w:p>
    <w:p w:rsidR="00084EE8" w:rsidRDefault="00084EE8" w:rsidP="00084EE8">
      <w:pPr>
        <w:jc w:val="both"/>
      </w:pPr>
      <w:r w:rsidRPr="0041074A">
        <w:t xml:space="preserve">Cancer is the </w:t>
      </w:r>
      <w:r>
        <w:t>leading cause of death in under-</w:t>
      </w:r>
      <w:r w:rsidRPr="0041074A">
        <w:t>75</w:t>
      </w:r>
      <w:r>
        <w:t>s</w:t>
      </w:r>
      <w:r w:rsidRPr="0041074A">
        <w:t xml:space="preserve"> in Walsall.  Over 2</w:t>
      </w:r>
      <w:r>
        <w:t>9</w:t>
      </w:r>
      <w:r w:rsidRPr="0041074A">
        <w:t xml:space="preserve">% of all </w:t>
      </w:r>
      <w:r w:rsidR="003F51C2">
        <w:t xml:space="preserve">premature </w:t>
      </w:r>
      <w:r w:rsidRPr="0041074A">
        <w:t xml:space="preserve">deaths in the borough </w:t>
      </w:r>
      <w:r w:rsidR="003F51C2">
        <w:t>in 2012</w:t>
      </w:r>
      <w:r>
        <w:t xml:space="preserve"> </w:t>
      </w:r>
      <w:r w:rsidRPr="0041074A">
        <w:t>are due to cance</w:t>
      </w:r>
      <w:r>
        <w:t xml:space="preserve">r (there were </w:t>
      </w:r>
      <w:r w:rsidR="003F51C2">
        <w:t>360</w:t>
      </w:r>
      <w:r>
        <w:t xml:space="preserve"> </w:t>
      </w:r>
      <w:r w:rsidR="003F51C2">
        <w:t xml:space="preserve">premature </w:t>
      </w:r>
      <w:r>
        <w:t>deaths to cancer in 2012).</w:t>
      </w:r>
    </w:p>
    <w:p w:rsidR="00084EE8" w:rsidRDefault="00084EE8" w:rsidP="00084EE8">
      <w:pPr>
        <w:jc w:val="both"/>
      </w:pPr>
    </w:p>
    <w:p w:rsidR="00084EE8" w:rsidRDefault="00084EE8" w:rsidP="00084EE8">
      <w:pPr>
        <w:jc w:val="both"/>
      </w:pPr>
      <w:r>
        <w:t xml:space="preserve">The chart below shows that </w:t>
      </w:r>
      <w:r w:rsidR="003F51C2">
        <w:t xml:space="preserve">premature </w:t>
      </w:r>
      <w:r>
        <w:t xml:space="preserve">mortality from cancer has </w:t>
      </w:r>
      <w:r w:rsidR="003F51C2">
        <w:t>decreased</w:t>
      </w:r>
      <w:r>
        <w:t xml:space="preserve"> </w:t>
      </w:r>
      <w:r w:rsidR="003F51C2">
        <w:t xml:space="preserve">for both women and men over the period in the graph below.  Premature </w:t>
      </w:r>
      <w:r>
        <w:t xml:space="preserve">Cancer mortality for males has </w:t>
      </w:r>
      <w:r w:rsidR="003F51C2">
        <w:t>decreased</w:t>
      </w:r>
      <w:r>
        <w:t xml:space="preserve"> by </w:t>
      </w:r>
      <w:r w:rsidR="003F51C2">
        <w:t>11%, while females have decreased by 4</w:t>
      </w:r>
      <w:r>
        <w:t xml:space="preserve">%.  In 2010, both genders </w:t>
      </w:r>
      <w:r w:rsidR="003F51C2">
        <w:t xml:space="preserve">premature </w:t>
      </w:r>
      <w:r>
        <w:t xml:space="preserve">mortality rate was greater than that for England.  </w:t>
      </w:r>
    </w:p>
    <w:p w:rsidR="00084EE8" w:rsidRDefault="00084EE8" w:rsidP="00084EE8">
      <w:pPr>
        <w:jc w:val="both"/>
      </w:pPr>
    </w:p>
    <w:p w:rsidR="003F51C2" w:rsidRDefault="003F51C2" w:rsidP="00084EE8">
      <w:pPr>
        <w:pStyle w:val="Caption"/>
        <w:jc w:val="center"/>
        <w:rPr>
          <w:color w:val="1F497D" w:themeColor="text2"/>
          <w:sz w:val="20"/>
        </w:rPr>
      </w:pPr>
      <w:bookmarkStart w:id="1" w:name="_Toc383176627"/>
      <w:r w:rsidRPr="003F51C2">
        <w:rPr>
          <w:color w:val="1F497D" w:themeColor="text2"/>
          <w:sz w:val="20"/>
        </w:rPr>
        <w:drawing>
          <wp:inline distT="0" distB="0" distL="0" distR="0">
            <wp:extent cx="5731510" cy="3740790"/>
            <wp:effectExtent l="19050" t="0" r="21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084EE8" w:rsidRPr="00F765F9" w:rsidRDefault="00084EE8" w:rsidP="00084EE8">
      <w:pPr>
        <w:pStyle w:val="Caption"/>
        <w:jc w:val="center"/>
        <w:rPr>
          <w:color w:val="1F497D" w:themeColor="text2"/>
          <w:sz w:val="20"/>
        </w:rPr>
      </w:pPr>
      <w:r w:rsidRPr="00F765F9">
        <w:rPr>
          <w:color w:val="1F497D" w:themeColor="text2"/>
          <w:sz w:val="20"/>
        </w:rPr>
        <w:t xml:space="preserve">Figure </w:t>
      </w:r>
      <w:r w:rsidR="00E45C29">
        <w:rPr>
          <w:color w:val="1F497D" w:themeColor="text2"/>
          <w:sz w:val="20"/>
        </w:rPr>
        <w:t>1</w:t>
      </w:r>
      <w:r w:rsidRPr="00F765F9">
        <w:rPr>
          <w:color w:val="1F497D" w:themeColor="text2"/>
          <w:sz w:val="20"/>
        </w:rPr>
        <w:t xml:space="preserve"> </w:t>
      </w:r>
      <w:r w:rsidR="003F51C2">
        <w:rPr>
          <w:color w:val="1F497D" w:themeColor="text2"/>
          <w:sz w:val="20"/>
        </w:rPr>
        <w:t xml:space="preserve">Premature </w:t>
      </w:r>
      <w:r w:rsidRPr="00F765F9">
        <w:rPr>
          <w:color w:val="1F497D" w:themeColor="text2"/>
          <w:sz w:val="20"/>
        </w:rPr>
        <w:t xml:space="preserve">Mortality from all Cancers. (Source:  </w:t>
      </w:r>
      <w:bookmarkEnd w:id="1"/>
      <w:r w:rsidR="003F51C2">
        <w:rPr>
          <w:color w:val="1F497D" w:themeColor="text2"/>
          <w:sz w:val="20"/>
        </w:rPr>
        <w:t>Public Health Outcomes Framework)</w:t>
      </w:r>
    </w:p>
    <w:p w:rsidR="00084EE8" w:rsidRDefault="00084EE8" w:rsidP="00084EE8">
      <w:pPr>
        <w:jc w:val="both"/>
      </w:pPr>
    </w:p>
    <w:p w:rsidR="00084EE8" w:rsidRPr="0041074A" w:rsidRDefault="00084EE8" w:rsidP="00084EE8">
      <w:pPr>
        <w:jc w:val="both"/>
        <w:rPr>
          <w:color w:val="003366"/>
        </w:rPr>
      </w:pPr>
      <w:r>
        <w:rPr>
          <w:color w:val="003366"/>
        </w:rPr>
        <w:t>Indicators:</w:t>
      </w:r>
    </w:p>
    <w:p w:rsidR="00084EE8" w:rsidRDefault="00084EE8" w:rsidP="00084EE8">
      <w:pPr>
        <w:jc w:val="both"/>
      </w:pPr>
    </w:p>
    <w:p w:rsidR="00084EE8" w:rsidRPr="0041074A" w:rsidRDefault="00084EE8" w:rsidP="00084EE8">
      <w:pPr>
        <w:jc w:val="both"/>
      </w:pPr>
      <w:r w:rsidRPr="0041074A">
        <w:t xml:space="preserve">Mortality rate from cancer, ages under 75, per 100,000 population varies across the borough, with male rates in </w:t>
      </w:r>
      <w:proofErr w:type="spellStart"/>
      <w:r w:rsidRPr="0041074A">
        <w:t>Blakenall</w:t>
      </w:r>
      <w:proofErr w:type="spellEnd"/>
      <w:r w:rsidRPr="0041074A">
        <w:t xml:space="preserve">, </w:t>
      </w:r>
      <w:proofErr w:type="spellStart"/>
      <w:r w:rsidRPr="0041074A">
        <w:t>Darlaston</w:t>
      </w:r>
      <w:proofErr w:type="spellEnd"/>
      <w:r w:rsidRPr="0041074A">
        <w:t xml:space="preserve"> South and </w:t>
      </w:r>
      <w:proofErr w:type="spellStart"/>
      <w:r w:rsidRPr="0041074A">
        <w:t>Birchills</w:t>
      </w:r>
      <w:proofErr w:type="spellEnd"/>
      <w:r w:rsidRPr="0041074A">
        <w:t xml:space="preserve"> </w:t>
      </w:r>
      <w:proofErr w:type="spellStart"/>
      <w:r w:rsidRPr="0041074A">
        <w:t>Leamore</w:t>
      </w:r>
      <w:proofErr w:type="spellEnd"/>
      <w:r w:rsidRPr="0041074A">
        <w:t xml:space="preserve"> more than double the rates in Paddock and </w:t>
      </w:r>
      <w:proofErr w:type="spellStart"/>
      <w:r w:rsidRPr="0041074A">
        <w:t>Streetly</w:t>
      </w:r>
      <w:proofErr w:type="spellEnd"/>
      <w:r w:rsidRPr="0041074A">
        <w:t xml:space="preserve"> and female rates in </w:t>
      </w:r>
      <w:proofErr w:type="spellStart"/>
      <w:r w:rsidRPr="0041074A">
        <w:t>Bloxwich</w:t>
      </w:r>
      <w:proofErr w:type="spellEnd"/>
      <w:r w:rsidRPr="0041074A">
        <w:t xml:space="preserve"> East, </w:t>
      </w:r>
      <w:proofErr w:type="spellStart"/>
      <w:r w:rsidRPr="0041074A">
        <w:t>Blakenall</w:t>
      </w:r>
      <w:proofErr w:type="spellEnd"/>
      <w:r w:rsidRPr="0041074A">
        <w:t xml:space="preserve">, </w:t>
      </w:r>
      <w:proofErr w:type="spellStart"/>
      <w:r w:rsidRPr="0041074A">
        <w:t>Pelsall</w:t>
      </w:r>
      <w:proofErr w:type="spellEnd"/>
      <w:r w:rsidRPr="0041074A">
        <w:t xml:space="preserve"> and </w:t>
      </w:r>
      <w:proofErr w:type="spellStart"/>
      <w:r w:rsidRPr="0041074A">
        <w:t>Darlaston</w:t>
      </w:r>
      <w:proofErr w:type="spellEnd"/>
      <w:r w:rsidRPr="0041074A">
        <w:t xml:space="preserve"> South more than double the rates of Pheasey, Aldridge Central</w:t>
      </w:r>
      <w:r>
        <w:t xml:space="preserve"> and South, Aldridge </w:t>
      </w:r>
      <w:r w:rsidRPr="0041074A">
        <w:t>North</w:t>
      </w:r>
      <w:r>
        <w:t xml:space="preserve"> and Walsall Wood</w:t>
      </w:r>
      <w:r w:rsidRPr="0041074A">
        <w:t xml:space="preserve">, </w:t>
      </w:r>
      <w:proofErr w:type="spellStart"/>
      <w:r w:rsidRPr="0041074A">
        <w:t>Birchills</w:t>
      </w:r>
      <w:proofErr w:type="spellEnd"/>
      <w:r>
        <w:t xml:space="preserve"> </w:t>
      </w:r>
      <w:proofErr w:type="spellStart"/>
      <w:r>
        <w:t>Leamore</w:t>
      </w:r>
      <w:proofErr w:type="spellEnd"/>
      <w:r>
        <w:t xml:space="preserve"> </w:t>
      </w:r>
      <w:r w:rsidRPr="0041074A">
        <w:t xml:space="preserve">and </w:t>
      </w:r>
      <w:proofErr w:type="spellStart"/>
      <w:r w:rsidRPr="0041074A">
        <w:t>Pleck</w:t>
      </w:r>
      <w:proofErr w:type="spellEnd"/>
      <w:r w:rsidRPr="0041074A">
        <w:t>.</w:t>
      </w:r>
      <w:r>
        <w:t xml:space="preserve"> </w:t>
      </w:r>
      <w:r w:rsidRPr="0041074A">
        <w:t xml:space="preserve">The commonest types of fatal cancers in </w:t>
      </w:r>
      <w:smartTag w:uri="urn:schemas-microsoft-com:office:smarttags" w:element="place">
        <w:r w:rsidRPr="0041074A">
          <w:t>Walsall</w:t>
        </w:r>
      </w:smartTag>
      <w:r w:rsidRPr="0041074A">
        <w:t xml:space="preserve"> are lung, colorectal, oesophageal, breast</w:t>
      </w:r>
      <w:r>
        <w:t xml:space="preserve">, prostate and stomach.  </w:t>
      </w:r>
      <w:proofErr w:type="gramStart"/>
      <w:r>
        <w:t xml:space="preserve">In the </w:t>
      </w:r>
      <w:r w:rsidRPr="0041074A">
        <w:t>2012-13 NHS Outcomes Framework,</w:t>
      </w:r>
      <w:proofErr w:type="gramEnd"/>
      <w:r w:rsidRPr="0041074A">
        <w:t xml:space="preserve"> the survival rates at 1 year and 3 years are being reported on for three of the major cancers: colorectal, breast and lung.</w:t>
      </w:r>
    </w:p>
    <w:p w:rsidR="00084EE8" w:rsidRDefault="00084EE8" w:rsidP="00084EE8">
      <w:pPr>
        <w:jc w:val="both"/>
      </w:pPr>
    </w:p>
    <w:p w:rsidR="00084EE8" w:rsidRDefault="00084EE8" w:rsidP="00084EE8">
      <w:pPr>
        <w:jc w:val="both"/>
      </w:pPr>
    </w:p>
    <w:p w:rsidR="00084EE8" w:rsidRDefault="00084EE8" w:rsidP="00084EE8">
      <w:pPr>
        <w:keepNext/>
        <w:jc w:val="both"/>
      </w:pPr>
      <w:r>
        <w:lastRenderedPageBreak/>
        <w:t xml:space="preserve">           </w:t>
      </w:r>
      <w:r>
        <w:rPr>
          <w:noProof/>
        </w:rPr>
        <w:drawing>
          <wp:inline distT="0" distB="0" distL="0" distR="0">
            <wp:extent cx="2362200" cy="1948815"/>
            <wp:effectExtent l="19050" t="0" r="0" b="0"/>
            <wp:docPr id="48" name="Picture 845" descr="U75 All Cancer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U75 All Cancer Male"/>
                    <pic:cNvPicPr>
                      <a:picLocks noChangeAspect="1" noChangeArrowheads="1"/>
                    </pic:cNvPicPr>
                  </pic:nvPicPr>
                  <pic:blipFill>
                    <a:blip r:embed="rId5" cstate="print"/>
                    <a:srcRect/>
                    <a:stretch>
                      <a:fillRect/>
                    </a:stretch>
                  </pic:blipFill>
                  <pic:spPr bwMode="auto">
                    <a:xfrm>
                      <a:off x="0" y="0"/>
                      <a:ext cx="2362200" cy="1948815"/>
                    </a:xfrm>
                    <a:prstGeom prst="rect">
                      <a:avLst/>
                    </a:prstGeom>
                    <a:noFill/>
                    <a:ln w="9525">
                      <a:noFill/>
                      <a:miter lim="800000"/>
                      <a:headEnd/>
                      <a:tailEnd/>
                    </a:ln>
                  </pic:spPr>
                </pic:pic>
              </a:graphicData>
            </a:graphic>
          </wp:inline>
        </w:drawing>
      </w:r>
      <w:r>
        <w:rPr>
          <w:b/>
          <w:noProof/>
        </w:rPr>
        <w:drawing>
          <wp:inline distT="0" distB="0" distL="0" distR="0">
            <wp:extent cx="2493010" cy="1981200"/>
            <wp:effectExtent l="19050" t="0" r="2540" b="0"/>
            <wp:docPr id="49" name="Picture 846" descr="U75 All Cancer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U75 All Cancer Female"/>
                    <pic:cNvPicPr>
                      <a:picLocks noChangeAspect="1" noChangeArrowheads="1"/>
                    </pic:cNvPicPr>
                  </pic:nvPicPr>
                  <pic:blipFill>
                    <a:blip r:embed="rId6" cstate="print"/>
                    <a:srcRect/>
                    <a:stretch>
                      <a:fillRect/>
                    </a:stretch>
                  </pic:blipFill>
                  <pic:spPr bwMode="auto">
                    <a:xfrm>
                      <a:off x="0" y="0"/>
                      <a:ext cx="2493010" cy="1981200"/>
                    </a:xfrm>
                    <a:prstGeom prst="rect">
                      <a:avLst/>
                    </a:prstGeom>
                    <a:noFill/>
                    <a:ln w="9525">
                      <a:noFill/>
                      <a:miter lim="800000"/>
                      <a:headEnd/>
                      <a:tailEnd/>
                    </a:ln>
                  </pic:spPr>
                </pic:pic>
              </a:graphicData>
            </a:graphic>
          </wp:inline>
        </w:drawing>
      </w:r>
    </w:p>
    <w:p w:rsidR="00084EE8" w:rsidRPr="00F765F9" w:rsidRDefault="00084EE8" w:rsidP="00084EE8">
      <w:pPr>
        <w:pStyle w:val="Caption"/>
        <w:jc w:val="center"/>
        <w:rPr>
          <w:color w:val="1F497D" w:themeColor="text2"/>
          <w:sz w:val="20"/>
        </w:rPr>
      </w:pPr>
      <w:bookmarkStart w:id="2" w:name="_Toc383176628"/>
      <w:r w:rsidRPr="00F765F9">
        <w:rPr>
          <w:color w:val="1F497D" w:themeColor="text2"/>
          <w:sz w:val="20"/>
        </w:rPr>
        <w:t xml:space="preserve">Figure </w:t>
      </w:r>
      <w:r w:rsidR="00E45C29">
        <w:rPr>
          <w:color w:val="1F497D" w:themeColor="text2"/>
          <w:sz w:val="20"/>
        </w:rPr>
        <w:t>2</w:t>
      </w:r>
      <w:r w:rsidRPr="00F765F9">
        <w:rPr>
          <w:color w:val="1F497D" w:themeColor="text2"/>
          <w:sz w:val="20"/>
        </w:rPr>
        <w:t xml:space="preserve"> Under</w:t>
      </w:r>
      <w:r>
        <w:rPr>
          <w:color w:val="1F497D" w:themeColor="text2"/>
          <w:sz w:val="20"/>
        </w:rPr>
        <w:t xml:space="preserve"> </w:t>
      </w:r>
      <w:r w:rsidRPr="00F765F9">
        <w:rPr>
          <w:color w:val="1F497D" w:themeColor="text2"/>
          <w:sz w:val="20"/>
        </w:rPr>
        <w:t xml:space="preserve">75’s all cancer DSR by community - Males (left) and Females (right) (Source: </w:t>
      </w:r>
      <w:r>
        <w:rPr>
          <w:color w:val="1F497D" w:themeColor="text2"/>
          <w:sz w:val="20"/>
        </w:rPr>
        <w:t>Public Health Mortality File</w:t>
      </w:r>
      <w:r w:rsidRPr="00F765F9">
        <w:rPr>
          <w:color w:val="1F497D" w:themeColor="text2"/>
          <w:sz w:val="20"/>
        </w:rPr>
        <w:t>)</w:t>
      </w:r>
      <w:bookmarkEnd w:id="2"/>
    </w:p>
    <w:p w:rsidR="00084EE8" w:rsidRDefault="00084EE8" w:rsidP="00084EE8">
      <w:pPr>
        <w:pStyle w:val="Caption"/>
        <w:jc w:val="both"/>
        <w:rPr>
          <w:color w:val="003366"/>
        </w:rPr>
      </w:pPr>
    </w:p>
    <w:p w:rsidR="00084EE8" w:rsidRDefault="00084EE8" w:rsidP="00084EE8">
      <w:pPr>
        <w:jc w:val="both"/>
        <w:rPr>
          <w:color w:val="003366"/>
        </w:rPr>
      </w:pPr>
      <w:r>
        <w:rPr>
          <w:color w:val="003366"/>
        </w:rPr>
        <w:t>Priorities for action:</w:t>
      </w:r>
    </w:p>
    <w:p w:rsidR="00084EE8" w:rsidRDefault="00084EE8" w:rsidP="00084EE8">
      <w:pPr>
        <w:jc w:val="both"/>
        <w:rPr>
          <w:color w:val="003366"/>
        </w:rPr>
      </w:pPr>
    </w:p>
    <w:p w:rsidR="00084EE8" w:rsidRPr="006B4F9E" w:rsidRDefault="00084EE8" w:rsidP="00084EE8">
      <w:pPr>
        <w:jc w:val="both"/>
      </w:pPr>
      <w:r w:rsidRPr="0041074A">
        <w:t>A wide variety of factors can help to reduce the risk of cancer, aid early diagnosis and offer prompt and effective treatment.  Modifiable population risk factors include stopping smoking, improving diet, keeping alcohol consumption moderate and engaging in physical activity.</w:t>
      </w:r>
      <w:r>
        <w:t xml:space="preserve"> </w:t>
      </w:r>
      <w:r w:rsidRPr="006B4F9E">
        <w:t xml:space="preserve">Nearly 90% of the 150 cases of lung cancer that occur each year in Walsall are due to smoking, so if everyone stopped smoking in Walsall there would be 128 fewer cases each year. A further 90 cancers of oesophagus, stomach and bowel could be prevented by healthier diets and reduction in obesity. Potentially 45% of the 670 cancers diagnosed in </w:t>
      </w:r>
      <w:smartTag w:uri="urn:schemas-microsoft-com:office:smarttags" w:element="place">
        <w:r w:rsidRPr="006B4F9E">
          <w:t>Walsall</w:t>
        </w:r>
      </w:smartTag>
      <w:r w:rsidRPr="006B4F9E">
        <w:t xml:space="preserve"> each year could be avoided by modifying simple lifestyle risk factors.</w:t>
      </w:r>
    </w:p>
    <w:p w:rsidR="00084EE8" w:rsidRPr="006B4F9E" w:rsidRDefault="00084EE8" w:rsidP="00084EE8">
      <w:pPr>
        <w:jc w:val="both"/>
        <w:rPr>
          <w:b/>
          <w:i/>
          <w:color w:val="00FF00"/>
        </w:rPr>
      </w:pPr>
      <w:r w:rsidRPr="006B4F9E">
        <w:t xml:space="preserve"> </w:t>
      </w:r>
    </w:p>
    <w:p w:rsidR="00084EE8" w:rsidRDefault="00084EE8" w:rsidP="00084EE8">
      <w:pPr>
        <w:jc w:val="both"/>
      </w:pPr>
      <w:r w:rsidRPr="006B4F9E">
        <w:t xml:space="preserve">National public health screening programmes are in place to support and improve the early detection and treatment of breast, bowel and cervical cancer. These are having a significant impact on cancer survival, but not everyone eligible attends. </w:t>
      </w:r>
    </w:p>
    <w:p w:rsidR="00084EE8" w:rsidRDefault="00084EE8" w:rsidP="00084EE8">
      <w:pPr>
        <w:jc w:val="both"/>
      </w:pPr>
    </w:p>
    <w:p w:rsidR="00084EE8" w:rsidRPr="005B5CB5" w:rsidRDefault="00084EE8" w:rsidP="00084EE8">
      <w:pPr>
        <w:jc w:val="both"/>
        <w:rPr>
          <w:b/>
          <w:i/>
        </w:rPr>
      </w:pPr>
      <w:r w:rsidRPr="005B5CB5">
        <w:rPr>
          <w:b/>
          <w:i/>
        </w:rPr>
        <w:t>Bowel screening</w:t>
      </w:r>
    </w:p>
    <w:p w:rsidR="00084EE8" w:rsidRDefault="00084EE8" w:rsidP="00084EE8">
      <w:pPr>
        <w:jc w:val="both"/>
      </w:pPr>
      <w:r>
        <w:t xml:space="preserve">For the 6 months up to February 2013, </w:t>
      </w:r>
      <w:r w:rsidR="0075514C">
        <w:t>51.0</w:t>
      </w:r>
      <w:r>
        <w:t xml:space="preserve">% of 60-74 year olds </w:t>
      </w:r>
      <w:r w:rsidRPr="0084037B">
        <w:t>took up</w:t>
      </w:r>
      <w:r>
        <w:t xml:space="preserve"> bowel screening.  This is </w:t>
      </w:r>
      <w:proofErr w:type="gramStart"/>
      <w:r>
        <w:t>an</w:t>
      </w:r>
      <w:proofErr w:type="gramEnd"/>
      <w:r>
        <w:t xml:space="preserve"> </w:t>
      </w:r>
      <w:r w:rsidR="005B5CB5">
        <w:t>decrease</w:t>
      </w:r>
      <w:r>
        <w:t xml:space="preserve"> on the previous year’s uptake of 52.8% (at Feb 2012).  The target as shown in the Health Protection Dashboard is 60% uptake.</w:t>
      </w:r>
    </w:p>
    <w:p w:rsidR="00084EE8" w:rsidRDefault="00084EE8" w:rsidP="00084EE8">
      <w:pPr>
        <w:jc w:val="both"/>
      </w:pPr>
    </w:p>
    <w:p w:rsidR="00084EE8" w:rsidRDefault="00084EE8" w:rsidP="00084EE8">
      <w:pPr>
        <w:jc w:val="both"/>
      </w:pPr>
      <w:r>
        <w:t>The 2.5 year coverage rate for 60-74 year olds has increase</w:t>
      </w:r>
      <w:r w:rsidR="005B5CB5">
        <w:t>d from 52.9% in Feb 2012 to 54.6</w:t>
      </w:r>
      <w:r>
        <w:t xml:space="preserve">% in </w:t>
      </w:r>
      <w:r w:rsidR="005B5CB5">
        <w:t xml:space="preserve">November </w:t>
      </w:r>
      <w:r>
        <w:t>2013.  The target as shown in the Health Protection Dashboard is 60% coverage.</w:t>
      </w:r>
    </w:p>
    <w:p w:rsidR="00084EE8" w:rsidRDefault="00084EE8" w:rsidP="00084EE8">
      <w:pPr>
        <w:jc w:val="both"/>
      </w:pPr>
    </w:p>
    <w:p w:rsidR="00084EE8" w:rsidRPr="005B5CB5" w:rsidRDefault="00084EE8" w:rsidP="00084EE8">
      <w:pPr>
        <w:jc w:val="both"/>
        <w:rPr>
          <w:b/>
        </w:rPr>
      </w:pPr>
      <w:r w:rsidRPr="005B5CB5">
        <w:rPr>
          <w:b/>
          <w:i/>
        </w:rPr>
        <w:t>Cervical screening</w:t>
      </w:r>
    </w:p>
    <w:p w:rsidR="00084EE8" w:rsidRDefault="00084EE8" w:rsidP="00084EE8">
      <w:pPr>
        <w:jc w:val="both"/>
      </w:pPr>
      <w:r>
        <w:t>The Walsall coverage rate has dropped slig</w:t>
      </w:r>
      <w:r w:rsidR="005B5CB5">
        <w:t>htly from 74.94% in 2010 to 73.1</w:t>
      </w:r>
      <w:r>
        <w:t xml:space="preserve">% in </w:t>
      </w:r>
      <w:r w:rsidR="005B5CB5">
        <w:t>December 2013</w:t>
      </w:r>
      <w:r>
        <w:t>.  This is for those aged between 25 and 64 years, over a 3.5/5.5 year coverage.  The target as shown in the Health Protection Dashboard is for 80% coverage.</w:t>
      </w:r>
    </w:p>
    <w:p w:rsidR="00084EE8" w:rsidRDefault="00084EE8" w:rsidP="00084EE8">
      <w:pPr>
        <w:jc w:val="both"/>
      </w:pPr>
    </w:p>
    <w:p w:rsidR="00084EE8" w:rsidRPr="005B5CB5" w:rsidRDefault="00084EE8" w:rsidP="00084EE8">
      <w:pPr>
        <w:jc w:val="both"/>
        <w:rPr>
          <w:b/>
          <w:i/>
        </w:rPr>
      </w:pPr>
      <w:r w:rsidRPr="005B5CB5">
        <w:rPr>
          <w:b/>
          <w:i/>
        </w:rPr>
        <w:t>Breast screening</w:t>
      </w:r>
    </w:p>
    <w:p w:rsidR="00084EE8" w:rsidRDefault="00084EE8" w:rsidP="00084EE8">
      <w:pPr>
        <w:jc w:val="both"/>
      </w:pPr>
      <w:r>
        <w:t xml:space="preserve">In Walsall, the uptake in breast screening (for 50 to 70 year olds) has reduced from 73.8% in Feb 2012 to </w:t>
      </w:r>
      <w:r w:rsidR="005B5CB5">
        <w:t>77.8% in December</w:t>
      </w:r>
      <w:r>
        <w:t xml:space="preserve"> 2013.  This is still above the 70% target seen in the Health Protection Dashboard.</w:t>
      </w:r>
    </w:p>
    <w:p w:rsidR="00084EE8" w:rsidRDefault="00084EE8" w:rsidP="00084EE8">
      <w:pPr>
        <w:jc w:val="both"/>
      </w:pPr>
    </w:p>
    <w:p w:rsidR="00084EE8" w:rsidRDefault="00084EE8" w:rsidP="00084EE8">
      <w:pPr>
        <w:jc w:val="both"/>
      </w:pPr>
      <w:r>
        <w:lastRenderedPageBreak/>
        <w:t>The 36 month coverage rate however has increase</w:t>
      </w:r>
      <w:r w:rsidR="005B5CB5">
        <w:t>d from 69.1% in Feb 2012 to 72.6</w:t>
      </w:r>
      <w:r>
        <w:t xml:space="preserve">% in </w:t>
      </w:r>
      <w:r w:rsidR="005B5CB5">
        <w:t>December</w:t>
      </w:r>
      <w:r>
        <w:t xml:space="preserve"> 2013.  Again, this is above the 70% target as seen in the Health Protection Dashboard.</w:t>
      </w:r>
    </w:p>
    <w:p w:rsidR="00084EE8" w:rsidRDefault="00084EE8" w:rsidP="00084EE8">
      <w:pPr>
        <w:jc w:val="both"/>
      </w:pPr>
    </w:p>
    <w:p w:rsidR="00084EE8" w:rsidRPr="006B4F9E" w:rsidRDefault="00084EE8" w:rsidP="00084EE8">
      <w:pPr>
        <w:jc w:val="both"/>
      </w:pPr>
      <w:r w:rsidRPr="006B4F9E">
        <w:t>Recommendations to target areas of lower than average uptake will increase the numbers of people with cancer diagnosed sooner</w:t>
      </w:r>
      <w:r>
        <w:t>,</w:t>
      </w:r>
      <w:r w:rsidRPr="006B4F9E">
        <w:t xml:space="preserve"> and hence treated when their cancer is at an earlier and more easily treated stage. </w:t>
      </w:r>
    </w:p>
    <w:p w:rsidR="00084EE8" w:rsidRPr="006B4F9E" w:rsidRDefault="00084EE8" w:rsidP="00084EE8">
      <w:pPr>
        <w:jc w:val="both"/>
      </w:pPr>
    </w:p>
    <w:p w:rsidR="00084EE8" w:rsidRDefault="00084EE8" w:rsidP="00084EE8">
      <w:pPr>
        <w:jc w:val="both"/>
      </w:pPr>
      <w:r w:rsidRPr="006B4F9E">
        <w:t xml:space="preserve">Effectiveness of treatment depends on speed of diagnosis, quality of and compliance with treatment and mitigation of social isolation. There is increasing evidence that people with poor social </w:t>
      </w:r>
      <w:proofErr w:type="gramStart"/>
      <w:r w:rsidRPr="006B4F9E">
        <w:t>networks,</w:t>
      </w:r>
      <w:proofErr w:type="gramEnd"/>
      <w:r w:rsidRPr="006B4F9E">
        <w:t xml:space="preserve"> isolation and depression have poorer survival </w:t>
      </w:r>
      <w:r>
        <w:t xml:space="preserve">rates </w:t>
      </w:r>
      <w:r w:rsidRPr="006B4F9E">
        <w:t>than those without.</w:t>
      </w:r>
    </w:p>
    <w:p w:rsidR="00084EE8" w:rsidRDefault="00084EE8" w:rsidP="00084EE8">
      <w:pPr>
        <w:jc w:val="both"/>
      </w:pPr>
    </w:p>
    <w:p w:rsidR="00084EE8" w:rsidRPr="0087007F" w:rsidRDefault="00084EE8" w:rsidP="00084EE8">
      <w:pPr>
        <w:jc w:val="both"/>
        <w:rPr>
          <w:i/>
          <w:color w:val="99CC00"/>
        </w:rPr>
      </w:pPr>
      <w:r>
        <w:t xml:space="preserve">We should therefore ensure, where possible, that patients are offered the necessary social support to maximise their chances of survival. </w:t>
      </w:r>
    </w:p>
    <w:p w:rsidR="00084EE8" w:rsidRDefault="00084EE8" w:rsidP="00084EE8">
      <w:pPr>
        <w:jc w:val="both"/>
        <w:rPr>
          <w:color w:val="003366"/>
        </w:rPr>
      </w:pPr>
    </w:p>
    <w:tbl>
      <w:tblPr>
        <w:tblW w:w="8393" w:type="dxa"/>
        <w:tblInd w:w="319" w:type="dxa"/>
        <w:tblLook w:val="00A0"/>
      </w:tblPr>
      <w:tblGrid>
        <w:gridCol w:w="1415"/>
        <w:gridCol w:w="1060"/>
        <w:gridCol w:w="1060"/>
        <w:gridCol w:w="1295"/>
        <w:gridCol w:w="1276"/>
        <w:gridCol w:w="1227"/>
        <w:gridCol w:w="1060"/>
      </w:tblGrid>
      <w:tr w:rsidR="00084EE8" w:rsidRPr="00076F56" w:rsidTr="003F51C2">
        <w:trPr>
          <w:trHeight w:val="315"/>
        </w:trPr>
        <w:tc>
          <w:tcPr>
            <w:tcW w:w="1415"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Site</w:t>
            </w:r>
          </w:p>
        </w:tc>
        <w:tc>
          <w:tcPr>
            <w:tcW w:w="2120" w:type="dxa"/>
            <w:gridSpan w:val="2"/>
            <w:tcBorders>
              <w:top w:val="single" w:sz="8" w:space="0" w:color="auto"/>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Pr>
                <w:b/>
                <w:bCs/>
                <w:color w:val="000000"/>
              </w:rPr>
              <w:t>N</w:t>
            </w:r>
            <w:r w:rsidRPr="00B83045">
              <w:rPr>
                <w:b/>
                <w:bCs/>
                <w:color w:val="000000"/>
              </w:rPr>
              <w:t>ew cases per year</w:t>
            </w:r>
          </w:p>
        </w:tc>
        <w:tc>
          <w:tcPr>
            <w:tcW w:w="2571" w:type="dxa"/>
            <w:gridSpan w:val="2"/>
            <w:tcBorders>
              <w:top w:val="single" w:sz="8" w:space="0" w:color="auto"/>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Pr>
                <w:b/>
                <w:bCs/>
                <w:color w:val="000000"/>
              </w:rPr>
              <w:t>A</w:t>
            </w:r>
            <w:r w:rsidRPr="00B83045">
              <w:rPr>
                <w:b/>
                <w:bCs/>
                <w:color w:val="000000"/>
              </w:rPr>
              <w:t>ttributable fraction</w:t>
            </w:r>
          </w:p>
        </w:tc>
        <w:tc>
          <w:tcPr>
            <w:tcW w:w="2287" w:type="dxa"/>
            <w:gridSpan w:val="2"/>
            <w:tcBorders>
              <w:top w:val="single" w:sz="8" w:space="0" w:color="auto"/>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color w:val="000000"/>
              </w:rPr>
            </w:pPr>
            <w:r>
              <w:rPr>
                <w:b/>
                <w:bCs/>
                <w:color w:val="000000"/>
              </w:rPr>
              <w:t>P</w:t>
            </w:r>
            <w:r w:rsidRPr="00B83045">
              <w:rPr>
                <w:b/>
                <w:bCs/>
                <w:color w:val="000000"/>
              </w:rPr>
              <w:t>otentially avoidable</w:t>
            </w:r>
          </w:p>
        </w:tc>
      </w:tr>
      <w:tr w:rsidR="00084EE8" w:rsidRPr="00076F56" w:rsidTr="003F51C2">
        <w:trPr>
          <w:trHeight w:val="315"/>
        </w:trPr>
        <w:tc>
          <w:tcPr>
            <w:tcW w:w="1415" w:type="dxa"/>
            <w:vMerge/>
            <w:tcBorders>
              <w:top w:val="single" w:sz="8" w:space="0" w:color="auto"/>
              <w:left w:val="single" w:sz="8" w:space="0" w:color="auto"/>
              <w:bottom w:val="single" w:sz="8" w:space="0" w:color="000000"/>
              <w:right w:val="single" w:sz="8" w:space="0" w:color="auto"/>
            </w:tcBorders>
            <w:vAlign w:val="center"/>
          </w:tcPr>
          <w:p w:rsidR="00084EE8" w:rsidRPr="00B83045" w:rsidRDefault="00084EE8" w:rsidP="003F51C2">
            <w:pPr>
              <w:jc w:val="both"/>
              <w:rPr>
                <w:b/>
                <w:bCs/>
                <w:color w:val="000000"/>
              </w:rPr>
            </w:pPr>
          </w:p>
        </w:tc>
        <w:tc>
          <w:tcPr>
            <w:tcW w:w="1060"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Pr>
                <w:b/>
                <w:bCs/>
                <w:color w:val="000000"/>
              </w:rPr>
              <w:t>M</w:t>
            </w:r>
            <w:r w:rsidRPr="00B83045">
              <w:rPr>
                <w:b/>
                <w:bCs/>
                <w:color w:val="000000"/>
              </w:rPr>
              <w:t>ales</w:t>
            </w: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Pr>
                <w:b/>
                <w:bCs/>
                <w:color w:val="000000"/>
              </w:rPr>
              <w:t>F</w:t>
            </w:r>
            <w:r w:rsidRPr="00B83045">
              <w:rPr>
                <w:b/>
                <w:bCs/>
                <w:color w:val="000000"/>
              </w:rPr>
              <w:t>emales</w:t>
            </w:r>
          </w:p>
        </w:tc>
        <w:tc>
          <w:tcPr>
            <w:tcW w:w="1295"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Pr>
                <w:b/>
                <w:bCs/>
                <w:color w:val="000000"/>
              </w:rPr>
              <w:t>M</w:t>
            </w:r>
            <w:r w:rsidRPr="00B83045">
              <w:rPr>
                <w:b/>
                <w:bCs/>
                <w:color w:val="000000"/>
              </w:rPr>
              <w:t>ale %</w:t>
            </w:r>
          </w:p>
        </w:tc>
        <w:tc>
          <w:tcPr>
            <w:tcW w:w="1276"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Pr>
                <w:b/>
                <w:bCs/>
                <w:color w:val="000000"/>
              </w:rPr>
              <w:t>F</w:t>
            </w:r>
            <w:r w:rsidRPr="00B83045">
              <w:rPr>
                <w:b/>
                <w:bCs/>
                <w:color w:val="000000"/>
              </w:rPr>
              <w:t>emale %</w:t>
            </w:r>
          </w:p>
        </w:tc>
        <w:tc>
          <w:tcPr>
            <w:tcW w:w="1227"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Pr>
                <w:b/>
                <w:bCs/>
                <w:color w:val="000000"/>
              </w:rPr>
              <w:t>M</w:t>
            </w:r>
            <w:r w:rsidRPr="00B83045">
              <w:rPr>
                <w:b/>
                <w:bCs/>
                <w:color w:val="000000"/>
              </w:rPr>
              <w:t>ales</w:t>
            </w: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Pr>
                <w:b/>
                <w:bCs/>
                <w:color w:val="000000"/>
              </w:rPr>
              <w:t>F</w:t>
            </w:r>
            <w:r w:rsidRPr="00B83045">
              <w:rPr>
                <w:b/>
                <w:bCs/>
                <w:color w:val="000000"/>
              </w:rPr>
              <w:t>emales</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sidRPr="00B83045">
              <w:rPr>
                <w:color w:val="000000"/>
              </w:rPr>
              <w:t>Lung</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91</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59</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87%</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84%</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79</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49</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Pr>
                <w:color w:val="000000"/>
              </w:rPr>
              <w:t>C</w:t>
            </w:r>
            <w:r w:rsidRPr="00B83045">
              <w:rPr>
                <w:color w:val="000000"/>
              </w:rPr>
              <w:t>olorectal</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38</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28</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57%</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52%</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22</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15</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Pr>
                <w:color w:val="000000"/>
              </w:rPr>
              <w:t>O</w:t>
            </w:r>
            <w:r w:rsidRPr="00B83045">
              <w:rPr>
                <w:color w:val="000000"/>
              </w:rPr>
              <w:t>esophagus</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28</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13</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90%</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88%</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25</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11</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Pr>
                <w:color w:val="000000"/>
              </w:rPr>
              <w:t>S</w:t>
            </w:r>
            <w:r w:rsidRPr="00B83045">
              <w:rPr>
                <w:color w:val="000000"/>
              </w:rPr>
              <w:t>tomach</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18</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8</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78%</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69%</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14</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6</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sidRPr="00B83045">
              <w:rPr>
                <w:color w:val="000000"/>
              </w:rPr>
              <w:t>Breast</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Pr>
                <w:color w:val="000000"/>
              </w:rPr>
              <w:t>-</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51</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Pr>
                <w:color w:val="000000"/>
              </w:rPr>
              <w:t>-</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27%</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0</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14</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sidRPr="00B83045">
              <w:rPr>
                <w:color w:val="000000"/>
              </w:rPr>
              <w:t>Bladder</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15</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6</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44%</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37%</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7</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2</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Pr>
                <w:color w:val="000000"/>
              </w:rPr>
              <w:t>L</w:t>
            </w:r>
            <w:r w:rsidRPr="00B83045">
              <w:rPr>
                <w:color w:val="000000"/>
              </w:rPr>
              <w:t>eukaemia</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10</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6</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16%</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14%</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2</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w:t>
            </w:r>
          </w:p>
        </w:tc>
      </w:tr>
      <w:tr w:rsidR="00084EE8" w:rsidRPr="00076F56" w:rsidTr="003F51C2">
        <w:trPr>
          <w:trHeight w:val="300"/>
        </w:trPr>
        <w:tc>
          <w:tcPr>
            <w:tcW w:w="1415" w:type="dxa"/>
            <w:tcBorders>
              <w:top w:val="nil"/>
              <w:left w:val="single" w:sz="8" w:space="0" w:color="auto"/>
              <w:bottom w:val="single" w:sz="4" w:space="0" w:color="auto"/>
              <w:right w:val="nil"/>
            </w:tcBorders>
            <w:shd w:val="clear" w:color="000000" w:fill="FFFFFF"/>
            <w:noWrap/>
            <w:vAlign w:val="bottom"/>
          </w:tcPr>
          <w:p w:rsidR="00084EE8" w:rsidRPr="00B83045" w:rsidRDefault="00084EE8" w:rsidP="003F51C2">
            <w:pPr>
              <w:jc w:val="both"/>
              <w:rPr>
                <w:color w:val="000000"/>
              </w:rPr>
            </w:pPr>
            <w:r>
              <w:rPr>
                <w:color w:val="000000"/>
              </w:rPr>
              <w:t>M</w:t>
            </w:r>
            <w:r w:rsidRPr="00B83045">
              <w:rPr>
                <w:color w:val="000000"/>
              </w:rPr>
              <w:t>elanoma</w:t>
            </w:r>
          </w:p>
        </w:tc>
        <w:tc>
          <w:tcPr>
            <w:tcW w:w="1060" w:type="dxa"/>
            <w:tcBorders>
              <w:top w:val="nil"/>
              <w:left w:val="single" w:sz="8" w:space="0" w:color="auto"/>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4</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2</w:t>
            </w:r>
          </w:p>
        </w:tc>
        <w:tc>
          <w:tcPr>
            <w:tcW w:w="1295"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90%</w:t>
            </w:r>
          </w:p>
        </w:tc>
        <w:tc>
          <w:tcPr>
            <w:tcW w:w="1276"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82%</w:t>
            </w:r>
          </w:p>
        </w:tc>
        <w:tc>
          <w:tcPr>
            <w:tcW w:w="1227" w:type="dxa"/>
            <w:tcBorders>
              <w:top w:val="nil"/>
              <w:left w:val="nil"/>
              <w:bottom w:val="single" w:sz="4"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4</w:t>
            </w:r>
          </w:p>
        </w:tc>
        <w:tc>
          <w:tcPr>
            <w:tcW w:w="1060" w:type="dxa"/>
            <w:tcBorders>
              <w:top w:val="nil"/>
              <w:left w:val="nil"/>
              <w:bottom w:val="single" w:sz="4"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2</w:t>
            </w:r>
          </w:p>
        </w:tc>
      </w:tr>
      <w:tr w:rsidR="00084EE8" w:rsidRPr="00076F56" w:rsidTr="003F51C2">
        <w:trPr>
          <w:trHeight w:val="315"/>
        </w:trPr>
        <w:tc>
          <w:tcPr>
            <w:tcW w:w="1415" w:type="dxa"/>
            <w:tcBorders>
              <w:top w:val="nil"/>
              <w:left w:val="single" w:sz="8" w:space="0" w:color="auto"/>
              <w:bottom w:val="single" w:sz="8" w:space="0" w:color="auto"/>
              <w:right w:val="nil"/>
            </w:tcBorders>
            <w:shd w:val="clear" w:color="000000" w:fill="FFFFFF"/>
            <w:noWrap/>
            <w:vAlign w:val="bottom"/>
          </w:tcPr>
          <w:p w:rsidR="00084EE8" w:rsidRPr="00B83045" w:rsidRDefault="00084EE8" w:rsidP="003F51C2">
            <w:pPr>
              <w:jc w:val="both"/>
              <w:rPr>
                <w:color w:val="000000"/>
              </w:rPr>
            </w:pPr>
            <w:r w:rsidRPr="00B83045">
              <w:rPr>
                <w:color w:val="000000"/>
              </w:rPr>
              <w:t>Other</w:t>
            </w:r>
          </w:p>
        </w:tc>
        <w:tc>
          <w:tcPr>
            <w:tcW w:w="1060" w:type="dxa"/>
            <w:tcBorders>
              <w:top w:val="nil"/>
              <w:left w:val="single" w:sz="8" w:space="0" w:color="auto"/>
              <w:bottom w:val="single" w:sz="8"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123</w:t>
            </w: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126</w:t>
            </w:r>
          </w:p>
        </w:tc>
        <w:tc>
          <w:tcPr>
            <w:tcW w:w="1295"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color w:val="000000"/>
              </w:rPr>
            </w:pPr>
            <w:r w:rsidRPr="00B83045">
              <w:rPr>
                <w:color w:val="000000"/>
              </w:rPr>
              <w:t>[-]</w:t>
            </w:r>
          </w:p>
        </w:tc>
        <w:tc>
          <w:tcPr>
            <w:tcW w:w="1276"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color w:val="000000"/>
              </w:rPr>
            </w:pPr>
            <w:r w:rsidRPr="00B83045">
              <w:rPr>
                <w:color w:val="000000"/>
              </w:rPr>
              <w:t>[-]</w:t>
            </w:r>
          </w:p>
        </w:tc>
        <w:tc>
          <w:tcPr>
            <w:tcW w:w="1227"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color w:val="000000"/>
              </w:rPr>
            </w:pP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color w:val="000000"/>
              </w:rPr>
            </w:pPr>
          </w:p>
        </w:tc>
      </w:tr>
      <w:tr w:rsidR="00084EE8" w:rsidRPr="00076F56" w:rsidTr="003F51C2">
        <w:trPr>
          <w:trHeight w:val="315"/>
        </w:trPr>
        <w:tc>
          <w:tcPr>
            <w:tcW w:w="1415" w:type="dxa"/>
            <w:tcBorders>
              <w:top w:val="nil"/>
              <w:left w:val="single" w:sz="8" w:space="0" w:color="auto"/>
              <w:bottom w:val="single" w:sz="8" w:space="0" w:color="auto"/>
              <w:right w:val="nil"/>
            </w:tcBorders>
            <w:shd w:val="clear" w:color="000000" w:fill="FFFFFF"/>
            <w:noWrap/>
            <w:vAlign w:val="bottom"/>
          </w:tcPr>
          <w:p w:rsidR="00084EE8" w:rsidRPr="00B83045" w:rsidRDefault="00084EE8" w:rsidP="003F51C2">
            <w:pPr>
              <w:jc w:val="both"/>
              <w:rPr>
                <w:b/>
                <w:bCs/>
                <w:color w:val="000000"/>
              </w:rPr>
            </w:pPr>
            <w:r w:rsidRPr="00B83045">
              <w:rPr>
                <w:b/>
                <w:bCs/>
                <w:color w:val="000000"/>
              </w:rPr>
              <w:t>All</w:t>
            </w:r>
          </w:p>
        </w:tc>
        <w:tc>
          <w:tcPr>
            <w:tcW w:w="1060" w:type="dxa"/>
            <w:tcBorders>
              <w:top w:val="nil"/>
              <w:left w:val="single" w:sz="8" w:space="0" w:color="auto"/>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371</w:t>
            </w: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300</w:t>
            </w:r>
          </w:p>
        </w:tc>
        <w:tc>
          <w:tcPr>
            <w:tcW w:w="1295"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45%</w:t>
            </w:r>
          </w:p>
        </w:tc>
        <w:tc>
          <w:tcPr>
            <w:tcW w:w="1276"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40%</w:t>
            </w:r>
          </w:p>
        </w:tc>
        <w:tc>
          <w:tcPr>
            <w:tcW w:w="1227" w:type="dxa"/>
            <w:tcBorders>
              <w:top w:val="nil"/>
              <w:left w:val="nil"/>
              <w:bottom w:val="single" w:sz="8" w:space="0" w:color="auto"/>
              <w:right w:val="single" w:sz="4"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168</w:t>
            </w:r>
          </w:p>
        </w:tc>
        <w:tc>
          <w:tcPr>
            <w:tcW w:w="1060" w:type="dxa"/>
            <w:tcBorders>
              <w:top w:val="nil"/>
              <w:left w:val="nil"/>
              <w:bottom w:val="single" w:sz="8" w:space="0" w:color="auto"/>
              <w:right w:val="single" w:sz="8" w:space="0" w:color="auto"/>
            </w:tcBorders>
            <w:shd w:val="clear" w:color="000000" w:fill="FFFFFF"/>
            <w:noWrap/>
            <w:vAlign w:val="bottom"/>
          </w:tcPr>
          <w:p w:rsidR="00084EE8" w:rsidRPr="00B83045" w:rsidRDefault="00084EE8" w:rsidP="003F51C2">
            <w:pPr>
              <w:jc w:val="both"/>
              <w:rPr>
                <w:b/>
                <w:bCs/>
                <w:color w:val="000000"/>
              </w:rPr>
            </w:pPr>
            <w:r w:rsidRPr="00B83045">
              <w:rPr>
                <w:b/>
                <w:bCs/>
                <w:color w:val="000000"/>
              </w:rPr>
              <w:t>120</w:t>
            </w:r>
          </w:p>
        </w:tc>
      </w:tr>
    </w:tbl>
    <w:p w:rsidR="00084EE8" w:rsidRPr="00F765F9" w:rsidRDefault="00084EE8" w:rsidP="00084EE8">
      <w:pPr>
        <w:pStyle w:val="Caption"/>
        <w:jc w:val="both"/>
        <w:rPr>
          <w:color w:val="1F497D" w:themeColor="text2"/>
          <w:sz w:val="20"/>
        </w:rPr>
      </w:pPr>
      <w:bookmarkStart w:id="3" w:name="_Toc383176629"/>
      <w:r w:rsidRPr="00F765F9">
        <w:rPr>
          <w:color w:val="1F497D" w:themeColor="text2"/>
          <w:sz w:val="20"/>
        </w:rPr>
        <w:t xml:space="preserve">Figure </w:t>
      </w:r>
      <w:r w:rsidR="00E45C29">
        <w:rPr>
          <w:color w:val="1F497D" w:themeColor="text2"/>
          <w:sz w:val="20"/>
        </w:rPr>
        <w:t>3</w:t>
      </w:r>
      <w:r w:rsidRPr="00F765F9">
        <w:rPr>
          <w:color w:val="1F497D" w:themeColor="text2"/>
          <w:sz w:val="20"/>
        </w:rPr>
        <w:t xml:space="preserve"> Walsall impact on cancer of eliminating common risk factors: Potentially avoidable cases per year</w:t>
      </w:r>
      <w:bookmarkEnd w:id="3"/>
    </w:p>
    <w:p w:rsidR="00084EE8" w:rsidRDefault="00084EE8" w:rsidP="00084EE8">
      <w:pPr>
        <w:pStyle w:val="Caption"/>
        <w:jc w:val="both"/>
      </w:pPr>
    </w:p>
    <w:p w:rsidR="00084EE8" w:rsidRDefault="00084EE8" w:rsidP="00084EE8">
      <w:pPr>
        <w:keepNext/>
        <w:jc w:val="both"/>
      </w:pPr>
      <w:r>
        <w:rPr>
          <w:noProof/>
        </w:rPr>
        <w:drawing>
          <wp:inline distT="0" distB="0" distL="0" distR="0">
            <wp:extent cx="5660390" cy="2612390"/>
            <wp:effectExtent l="19050" t="0" r="0" b="0"/>
            <wp:docPr id="50"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7" cstate="print"/>
                    <a:srcRect/>
                    <a:stretch>
                      <a:fillRect/>
                    </a:stretch>
                  </pic:blipFill>
                  <pic:spPr bwMode="auto">
                    <a:xfrm>
                      <a:off x="0" y="0"/>
                      <a:ext cx="5660390" cy="2612390"/>
                    </a:xfrm>
                    <a:prstGeom prst="rect">
                      <a:avLst/>
                    </a:prstGeom>
                    <a:noFill/>
                    <a:ln w="9525">
                      <a:noFill/>
                      <a:miter lim="800000"/>
                      <a:headEnd/>
                      <a:tailEnd/>
                    </a:ln>
                  </pic:spPr>
                </pic:pic>
              </a:graphicData>
            </a:graphic>
          </wp:inline>
        </w:drawing>
      </w:r>
    </w:p>
    <w:p w:rsidR="00F871B0" w:rsidRPr="005B5CB5" w:rsidRDefault="00084EE8" w:rsidP="005B5CB5">
      <w:pPr>
        <w:pStyle w:val="Caption"/>
        <w:jc w:val="center"/>
        <w:rPr>
          <w:noProof/>
          <w:color w:val="1F497D" w:themeColor="text2"/>
          <w:sz w:val="20"/>
        </w:rPr>
      </w:pPr>
      <w:bookmarkStart w:id="4" w:name="_Toc383176630"/>
      <w:r w:rsidRPr="00F765F9">
        <w:rPr>
          <w:color w:val="1F497D" w:themeColor="text2"/>
          <w:sz w:val="20"/>
        </w:rPr>
        <w:t xml:space="preserve">Figure </w:t>
      </w:r>
      <w:r w:rsidR="00E45C29">
        <w:rPr>
          <w:color w:val="1F497D" w:themeColor="text2"/>
          <w:sz w:val="20"/>
        </w:rPr>
        <w:t>4</w:t>
      </w:r>
      <w:r w:rsidRPr="00F765F9">
        <w:rPr>
          <w:color w:val="1F497D" w:themeColor="text2"/>
          <w:sz w:val="20"/>
        </w:rPr>
        <w:t xml:space="preserve"> Walsall potential avoidable and unavoidable cancers by gender - impact of eliminating common risk factors</w:t>
      </w:r>
      <w:bookmarkEnd w:id="4"/>
    </w:p>
    <w:sectPr w:rsidR="00F871B0" w:rsidRPr="005B5CB5" w:rsidSect="00F871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EE8"/>
    <w:rsid w:val="00084EE8"/>
    <w:rsid w:val="003F51C2"/>
    <w:rsid w:val="005B5CB5"/>
    <w:rsid w:val="0075514C"/>
    <w:rsid w:val="008169A8"/>
    <w:rsid w:val="00B2514C"/>
    <w:rsid w:val="00E45C29"/>
    <w:rsid w:val="00F871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E8"/>
    <w:pPr>
      <w:spacing w:after="0" w:line="240" w:lineRule="auto"/>
    </w:pPr>
    <w:rPr>
      <w:rFonts w:ascii="Calibri" w:eastAsia="Times New Roman" w:hAnsi="Calibri" w:cs="Times New Roman"/>
      <w:sz w:val="24"/>
      <w:szCs w:val="24"/>
      <w:lang w:eastAsia="en-GB"/>
    </w:rPr>
  </w:style>
  <w:style w:type="paragraph" w:styleId="Heading2">
    <w:name w:val="heading 2"/>
    <w:basedOn w:val="Normal"/>
    <w:next w:val="Normal"/>
    <w:link w:val="Heading2Char"/>
    <w:uiPriority w:val="99"/>
    <w:qFormat/>
    <w:rsid w:val="00084EE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84EE8"/>
    <w:rPr>
      <w:rFonts w:ascii="Cambria" w:eastAsia="Times New Roman" w:hAnsi="Cambria" w:cs="Times New Roman"/>
      <w:b/>
      <w:bCs/>
      <w:i/>
      <w:iCs/>
      <w:sz w:val="28"/>
      <w:szCs w:val="28"/>
      <w:lang w:eastAsia="en-GB"/>
    </w:rPr>
  </w:style>
  <w:style w:type="paragraph" w:styleId="Caption">
    <w:name w:val="caption"/>
    <w:basedOn w:val="Normal"/>
    <w:next w:val="Normal"/>
    <w:uiPriority w:val="99"/>
    <w:qFormat/>
    <w:rsid w:val="00084EE8"/>
    <w:rPr>
      <w:bCs/>
      <w:color w:val="4F81BD"/>
      <w:szCs w:val="20"/>
    </w:rPr>
  </w:style>
  <w:style w:type="paragraph" w:styleId="BalloonText">
    <w:name w:val="Balloon Text"/>
    <w:basedOn w:val="Normal"/>
    <w:link w:val="BalloonTextChar"/>
    <w:uiPriority w:val="99"/>
    <w:semiHidden/>
    <w:unhideWhenUsed/>
    <w:rsid w:val="00084EE8"/>
    <w:rPr>
      <w:rFonts w:ascii="Tahoma" w:hAnsi="Tahoma" w:cs="Tahoma"/>
      <w:sz w:val="16"/>
      <w:szCs w:val="16"/>
    </w:rPr>
  </w:style>
  <w:style w:type="character" w:customStyle="1" w:styleId="BalloonTextChar">
    <w:name w:val="Balloon Text Char"/>
    <w:basedOn w:val="DefaultParagraphFont"/>
    <w:link w:val="BalloonText"/>
    <w:uiPriority w:val="99"/>
    <w:semiHidden/>
    <w:rsid w:val="00084EE8"/>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400"/>
              <a:t>Premature Mortality</a:t>
            </a:r>
            <a:r>
              <a:rPr lang="en-GB" sz="1400" baseline="0"/>
              <a:t> Rate per 100,000 from All Cancers, Walsall Men and Women: </a:t>
            </a:r>
          </a:p>
          <a:p>
            <a:pPr>
              <a:defRPr/>
            </a:pPr>
            <a:r>
              <a:rPr lang="en-GB" sz="1400" baseline="0"/>
              <a:t>2001 /03 to 2010/12</a:t>
            </a:r>
            <a:endParaRPr lang="en-GB" sz="1400"/>
          </a:p>
        </c:rich>
      </c:tx>
      <c:layout/>
    </c:title>
    <c:plotArea>
      <c:layout>
        <c:manualLayout>
          <c:layoutTarget val="inner"/>
          <c:xMode val="edge"/>
          <c:yMode val="edge"/>
          <c:x val="4.236535901982634E-2"/>
          <c:y val="0.11334510605761933"/>
          <c:w val="0.92853267957989061"/>
          <c:h val="0.8341715282079365"/>
        </c:manualLayout>
      </c:layout>
      <c:lineChart>
        <c:grouping val="standard"/>
        <c:ser>
          <c:idx val="0"/>
          <c:order val="0"/>
          <c:tx>
            <c:strRef>
              <c:f>Sheet1!$D$3</c:f>
              <c:strCache>
                <c:ptCount val="1"/>
                <c:pt idx="0">
                  <c:v>Walsall Males</c:v>
                </c:pt>
              </c:strCache>
            </c:strRef>
          </c:tx>
          <c:spPr>
            <a:ln>
              <a:prstDash val="dashDot"/>
            </a:ln>
          </c:spPr>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Sheet1!$D$4:$D$13</c:f>
              <c:numCache>
                <c:formatCode>General</c:formatCode>
                <c:ptCount val="10"/>
                <c:pt idx="0">
                  <c:v>204</c:v>
                </c:pt>
                <c:pt idx="1">
                  <c:v>205.9</c:v>
                </c:pt>
                <c:pt idx="2">
                  <c:v>208</c:v>
                </c:pt>
                <c:pt idx="3">
                  <c:v>204.2</c:v>
                </c:pt>
                <c:pt idx="4">
                  <c:v>206.5</c:v>
                </c:pt>
                <c:pt idx="5">
                  <c:v>198.9</c:v>
                </c:pt>
                <c:pt idx="6">
                  <c:v>195.8</c:v>
                </c:pt>
                <c:pt idx="7">
                  <c:v>188</c:v>
                </c:pt>
                <c:pt idx="8">
                  <c:v>187.8</c:v>
                </c:pt>
                <c:pt idx="9">
                  <c:v>181.4</c:v>
                </c:pt>
              </c:numCache>
            </c:numRef>
          </c:val>
        </c:ser>
        <c:ser>
          <c:idx val="1"/>
          <c:order val="1"/>
          <c:tx>
            <c:strRef>
              <c:f>Sheet1!$G$3</c:f>
              <c:strCache>
                <c:ptCount val="1"/>
                <c:pt idx="0">
                  <c:v>West Midlands Males</c:v>
                </c:pt>
              </c:strCache>
            </c:strRef>
          </c:tx>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Sheet1!$G$4:$G$13</c:f>
              <c:numCache>
                <c:formatCode>General</c:formatCode>
                <c:ptCount val="10"/>
                <c:pt idx="0">
                  <c:v>198.6</c:v>
                </c:pt>
                <c:pt idx="1">
                  <c:v>194.7</c:v>
                </c:pt>
                <c:pt idx="2">
                  <c:v>190.6</c:v>
                </c:pt>
                <c:pt idx="3">
                  <c:v>186.9</c:v>
                </c:pt>
                <c:pt idx="4">
                  <c:v>185.1</c:v>
                </c:pt>
                <c:pt idx="5">
                  <c:v>181</c:v>
                </c:pt>
                <c:pt idx="6">
                  <c:v>177.4</c:v>
                </c:pt>
                <c:pt idx="7">
                  <c:v>172.2</c:v>
                </c:pt>
                <c:pt idx="8">
                  <c:v>169.2</c:v>
                </c:pt>
                <c:pt idx="9">
                  <c:v>165.4</c:v>
                </c:pt>
              </c:numCache>
            </c:numRef>
          </c:val>
        </c:ser>
        <c:ser>
          <c:idx val="2"/>
          <c:order val="2"/>
          <c:tx>
            <c:strRef>
              <c:f>Sheet1!$H$3</c:f>
              <c:strCache>
                <c:ptCount val="1"/>
                <c:pt idx="0">
                  <c:v>England Males</c:v>
                </c:pt>
              </c:strCache>
            </c:strRef>
          </c:tx>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Sheet1!$H$4:$H$13</c:f>
              <c:numCache>
                <c:formatCode>General</c:formatCode>
                <c:ptCount val="10"/>
                <c:pt idx="0">
                  <c:v>193.6</c:v>
                </c:pt>
                <c:pt idx="1">
                  <c:v>189.7</c:v>
                </c:pt>
                <c:pt idx="2">
                  <c:v>184.7</c:v>
                </c:pt>
                <c:pt idx="3">
                  <c:v>181</c:v>
                </c:pt>
                <c:pt idx="4">
                  <c:v>177.7</c:v>
                </c:pt>
                <c:pt idx="5">
                  <c:v>174.9</c:v>
                </c:pt>
                <c:pt idx="6">
                  <c:v>171.8</c:v>
                </c:pt>
                <c:pt idx="7">
                  <c:v>168.9</c:v>
                </c:pt>
                <c:pt idx="8">
                  <c:v>166.3</c:v>
                </c:pt>
                <c:pt idx="9">
                  <c:v>163.6</c:v>
                </c:pt>
              </c:numCache>
            </c:numRef>
          </c:val>
        </c:ser>
        <c:ser>
          <c:idx val="3"/>
          <c:order val="3"/>
          <c:tx>
            <c:strRef>
              <c:f>Sheet1!$N$3</c:f>
              <c:strCache>
                <c:ptCount val="1"/>
                <c:pt idx="0">
                  <c:v>Walsall Females</c:v>
                </c:pt>
              </c:strCache>
            </c:strRef>
          </c:tx>
          <c:spPr>
            <a:ln>
              <a:prstDash val="dashDot"/>
            </a:ln>
          </c:spPr>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Sheet1!$N$4:$N$13</c:f>
              <c:numCache>
                <c:formatCode>General</c:formatCode>
                <c:ptCount val="10"/>
                <c:pt idx="0">
                  <c:v>155.80000000000001</c:v>
                </c:pt>
                <c:pt idx="1">
                  <c:v>152</c:v>
                </c:pt>
                <c:pt idx="2">
                  <c:v>149.4</c:v>
                </c:pt>
                <c:pt idx="3">
                  <c:v>153.1</c:v>
                </c:pt>
                <c:pt idx="4">
                  <c:v>147.9</c:v>
                </c:pt>
                <c:pt idx="5">
                  <c:v>146.69999999999999</c:v>
                </c:pt>
                <c:pt idx="6">
                  <c:v>136.5</c:v>
                </c:pt>
                <c:pt idx="7">
                  <c:v>139.9</c:v>
                </c:pt>
                <c:pt idx="8">
                  <c:v>141.1</c:v>
                </c:pt>
                <c:pt idx="9">
                  <c:v>149.1</c:v>
                </c:pt>
              </c:numCache>
            </c:numRef>
          </c:val>
        </c:ser>
        <c:ser>
          <c:idx val="4"/>
          <c:order val="4"/>
          <c:tx>
            <c:strRef>
              <c:f>Sheet1!$Q$3</c:f>
              <c:strCache>
                <c:ptCount val="1"/>
                <c:pt idx="0">
                  <c:v>West Midlands Females</c:v>
                </c:pt>
              </c:strCache>
            </c:strRef>
          </c:tx>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Sheet1!$Q$4:$Q$13</c:f>
              <c:numCache>
                <c:formatCode>General</c:formatCode>
                <c:ptCount val="10"/>
                <c:pt idx="0">
                  <c:v>145.9</c:v>
                </c:pt>
                <c:pt idx="1">
                  <c:v>143.69999999999999</c:v>
                </c:pt>
                <c:pt idx="2">
                  <c:v>141.5</c:v>
                </c:pt>
                <c:pt idx="3">
                  <c:v>140.5</c:v>
                </c:pt>
                <c:pt idx="4">
                  <c:v>139.5</c:v>
                </c:pt>
                <c:pt idx="5">
                  <c:v>138.9</c:v>
                </c:pt>
                <c:pt idx="6">
                  <c:v>136.80000000000001</c:v>
                </c:pt>
                <c:pt idx="7">
                  <c:v>135.4</c:v>
                </c:pt>
                <c:pt idx="8">
                  <c:v>134.1</c:v>
                </c:pt>
                <c:pt idx="9">
                  <c:v>133.30000000000001</c:v>
                </c:pt>
              </c:numCache>
            </c:numRef>
          </c:val>
        </c:ser>
        <c:ser>
          <c:idx val="5"/>
          <c:order val="5"/>
          <c:tx>
            <c:strRef>
              <c:f>Sheet1!$R$3</c:f>
              <c:strCache>
                <c:ptCount val="1"/>
                <c:pt idx="0">
                  <c:v>England Females</c:v>
                </c:pt>
              </c:strCache>
            </c:strRef>
          </c:tx>
          <c:marker>
            <c:symbol val="none"/>
          </c:marker>
          <c:cat>
            <c:strRef>
              <c:f>Sheet1!$A$4:$A$13</c:f>
              <c:strCache>
                <c:ptCount val="10"/>
                <c:pt idx="0">
                  <c:v>2001 - 03</c:v>
                </c:pt>
                <c:pt idx="1">
                  <c:v>2002 - 04</c:v>
                </c:pt>
                <c:pt idx="2">
                  <c:v>2003 - 05</c:v>
                </c:pt>
                <c:pt idx="3">
                  <c:v>2004 - 06</c:v>
                </c:pt>
                <c:pt idx="4">
                  <c:v>2005 - 07</c:v>
                </c:pt>
                <c:pt idx="5">
                  <c:v>2006 - 08</c:v>
                </c:pt>
                <c:pt idx="6">
                  <c:v>2007 - 09</c:v>
                </c:pt>
                <c:pt idx="7">
                  <c:v>2008 - 10</c:v>
                </c:pt>
                <c:pt idx="8">
                  <c:v>2009 - 11</c:v>
                </c:pt>
                <c:pt idx="9">
                  <c:v>2010 - 12</c:v>
                </c:pt>
              </c:strCache>
            </c:strRef>
          </c:cat>
          <c:val>
            <c:numRef>
              <c:f>Sheet1!$R$4:$R$13</c:f>
              <c:numCache>
                <c:formatCode>General</c:formatCode>
                <c:ptCount val="10"/>
                <c:pt idx="0">
                  <c:v>147.9</c:v>
                </c:pt>
                <c:pt idx="1">
                  <c:v>145.4</c:v>
                </c:pt>
                <c:pt idx="2">
                  <c:v>143</c:v>
                </c:pt>
                <c:pt idx="3">
                  <c:v>141.19999999999999</c:v>
                </c:pt>
                <c:pt idx="4">
                  <c:v>139.69999999999999</c:v>
                </c:pt>
                <c:pt idx="5">
                  <c:v>138.19999999999999</c:v>
                </c:pt>
                <c:pt idx="6">
                  <c:v>136.30000000000001</c:v>
                </c:pt>
                <c:pt idx="7">
                  <c:v>133.80000000000001</c:v>
                </c:pt>
                <c:pt idx="8">
                  <c:v>132.1</c:v>
                </c:pt>
                <c:pt idx="9">
                  <c:v>130.80000000000001</c:v>
                </c:pt>
              </c:numCache>
            </c:numRef>
          </c:val>
        </c:ser>
        <c:marker val="1"/>
        <c:axId val="106806656"/>
        <c:axId val="106955904"/>
      </c:lineChart>
      <c:catAx>
        <c:axId val="106806656"/>
        <c:scaling>
          <c:orientation val="minMax"/>
        </c:scaling>
        <c:axPos val="b"/>
        <c:tickLblPos val="nextTo"/>
        <c:crossAx val="106955904"/>
        <c:crosses val="autoZero"/>
        <c:auto val="1"/>
        <c:lblAlgn val="ctr"/>
        <c:lblOffset val="100"/>
      </c:catAx>
      <c:valAx>
        <c:axId val="106955904"/>
        <c:scaling>
          <c:orientation val="minMax"/>
        </c:scaling>
        <c:axPos val="l"/>
        <c:majorGridlines/>
        <c:numFmt formatCode="General" sourceLinked="1"/>
        <c:tickLblPos val="nextTo"/>
        <c:crossAx val="106806656"/>
        <c:crosses val="autoZero"/>
        <c:crossBetween val="between"/>
      </c:valAx>
    </c:plotArea>
    <c:legend>
      <c:legendPos val="r"/>
      <c:layout>
        <c:manualLayout>
          <c:xMode val="edge"/>
          <c:yMode val="edge"/>
          <c:x val="0.12798866496259281"/>
          <c:y val="0.71735943457931273"/>
          <c:w val="0.586256170252072"/>
          <c:h val="0.13931262356617871"/>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Martin Ewin</cp:lastModifiedBy>
  <cp:revision>3</cp:revision>
  <dcterms:created xsi:type="dcterms:W3CDTF">2014-08-13T10:36:00Z</dcterms:created>
  <dcterms:modified xsi:type="dcterms:W3CDTF">2014-10-27T15:15:00Z</dcterms:modified>
</cp:coreProperties>
</file>